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Default Extension="fntdata" ContentType="application/x-fontdata"/>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c>
          <w:tcPr>
            <w:tcW w:type="dxa" w:w="9865"/>
            <w:shd w:val="clear" w:color="auto" w:fill="35394F"/>
            <w:tcMar>
              <w:top w:w="240" w:type="dxa"/>
              <w:left w:w="0" w:type="dxa"/>
              <w:bottom w:w="240" w:type="dxa"/>
              <w:right w:w="0" w:type="dxa"/>
            </w:tcMar>
          </w:tcPr>
          <w:p>
            <w:pPr>
              <w:spacing w:before="0" w:after="0" w:line="240" w:lineRule="auto"/>
              <w:ind w:left="260" w:right="260"/>
              <w:jc w:val="right"/>
            </w:pPr>
            <w:hyperlink r:id="rId10">
              <w:r>
                <w:drawing>
                  <wp:inline xmlns:a="http://schemas.openxmlformats.org/drawingml/2006/main" xmlns:pic="http://schemas.openxmlformats.org/drawingml/2006/picture">
                    <wp:extent cx="720000" cy="391800"/>
                    <wp:docPr id="1" name="Picture 1" descr="ETHYX — ethyx.eu" title="ETHYX — ethyx.eu"/>
                    <wp:cNvGraphicFramePr>
                      <a:graphicFrameLocks noChangeAspect="1"/>
                    </wp:cNvGraphicFramePr>
                    <a:graphic>
                      <a:graphicData uri="http://schemas.openxmlformats.org/drawingml/2006/picture">
                        <pic:pic>
                          <pic:nvPicPr>
                            <pic:cNvPr id="0" name="logo-lockup.png"/>
                            <pic:cNvPicPr/>
                          </pic:nvPicPr>
                          <pic:blipFill>
                            <a:blip r:embed="rId9"/>
                            <a:stretch>
                              <a:fillRect/>
                            </a:stretch>
                          </pic:blipFill>
                          <pic:spPr>
                            <a:xfrm>
                              <a:off x="0" y="0"/>
                              <a:ext cx="720000" cy="391800"/>
                            </a:xfrm>
                            <a:prstGeom prst="rect"/>
                          </pic:spPr>
                        </pic:pic>
                      </a:graphicData>
                    </a:graphic>
                  </wp:inline>
                </w:drawing>
              </w:r>
            </w:hyperlink>
          </w:p>
          <w:p>
            <w:pPr>
              <w:spacing w:before="0" w:after="0" w:line="240" w:lineRule="exact"/>
              <w:ind w:left="260" w:right="260"/>
            </w:pPr>
          </w:p>
          <w:p>
            <w:pPr>
              <w:spacing w:before="0" w:after="0" w:line="252" w:lineRule="auto"/>
              <w:ind w:left="260" w:right="260"/>
            </w:pPr>
            <w:r>
              <w:rPr>
                <w:rFonts w:ascii="Funnel Display" w:hAnsi="Funnel Display" w:cs="Funnel Display" w:eastAsia="Funnel Display"/>
                <w:b/>
                <w:i w:val="0"/>
                <w:color w:val="FFFFFF"/>
                <w:sz w:val="44"/>
              </w:rPr>
              <w:t>Data Protection Impact Assessment (DPIA)</w:t>
            </w:r>
          </w:p>
          <w:p>
            <w:pPr>
              <w:spacing w:before="100" w:after="0" w:line="276" w:lineRule="auto"/>
              <w:ind w:left="260" w:right="260"/>
            </w:pPr>
            <w:r>
              <w:rPr>
                <w:rFonts w:ascii="Inter" w:hAnsi="Inter" w:cs="Inter" w:eastAsia="Inter"/>
                <w:b w:val="0"/>
                <w:i w:val="0"/>
                <w:color w:val="FFFFFF"/>
                <w:sz w:val="21"/>
              </w:rPr>
              <w:t>Pursuant to Art. 35 GDPR · Template &amp; workflow for SMEs · EN</w:t>
            </w:r>
          </w:p>
          <w:p>
            <w:pPr>
              <w:spacing w:before="140" w:after="0" w:line="288" w:lineRule="auto"/>
              <w:ind w:left="260" w:right="260"/>
            </w:pPr>
            <w:r>
              <w:rPr>
                <w:rFonts w:ascii="Inter" w:hAnsi="Inter" w:cs="Inter" w:eastAsia="Inter"/>
                <w:b w:val="0"/>
                <w:i w:val="0"/>
                <w:color w:val="E5E7EB"/>
                <w:sz w:val="15"/>
              </w:rPr>
              <w:t>Legally reviewed by a certified Data Protection Officer (CIPP/E) · Provided by ETHYX · Version 1.0 · June 2026</w:t>
            </w:r>
          </w:p>
        </w:tc>
      </w:tr>
    </w:tbl>
    <w:p>
      <w:pPr>
        <w:shd w:val="clear" w:color="auto" w:fill="E34663"/>
        <w:spacing w:before="0" w:after="200" w:line="60" w:lineRule="exact"/>
      </w:pPr>
    </w:p>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w:t>
            </w:r>
            <w:r>
              <w:rPr>
                <w:rFonts w:ascii="Inter" w:hAnsi="Inter" w:cs="Inter" w:eastAsia="Inter"/>
                <w:b w:val="0"/>
                <w:i w:val="0"/>
                <w:color w:val="35394F"/>
                <w:sz w:val="16"/>
              </w:rPr>
              <w:t>A DPIA assesses the risks a planned processing activity poses to people's rights and freedoms, and the measures to reduce them. It is required before high-risk processing begins (Art. 35). Work through the steps in order: Step 1 decides whether you even need a DPIA – if you do, complete Steps 2–7. Replace every [placeholder], fill in the tables, and have your DPO review the result. Keep the completed DPIA on file as evidence of accountability (Art. 5(2)).</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Document control</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798"/>
        <w:gridCol w:w="5067"/>
      </w:tblGrid>
      <w:tr>
        <w:trPr>
          <w:cantSplit w:val="1"/>
          <w:tblHeader w:val="1"/>
        </w:trPr>
        <w:tc>
          <w:tcPr>
            <w:tcW w:type="dxa" w:w="4798"/>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Field</w:t>
            </w:r>
          </w:p>
        </w:tc>
        <w:tc>
          <w:tcPr>
            <w:tcW w:type="dxa" w:w="5067"/>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Entry</w:t>
            </w:r>
          </w:p>
        </w:tc>
      </w:tr>
      <w:tr>
        <w:trPr>
          <w:cantSplit w:val="1"/>
        </w:trPr>
        <w:tc>
          <w:tcPr>
            <w:tcW w:type="dxa" w:w="4798"/>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Processing activity / project</w:t>
            </w:r>
          </w:p>
        </w:tc>
        <w:tc>
          <w:tcPr>
            <w:tcW w:type="dxa" w:w="506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[name of the project or system]</w:t>
            </w:r>
          </w:p>
        </w:tc>
      </w:tr>
      <w:tr>
        <w:trPr>
          <w:cantSplit w:val="1"/>
        </w:trPr>
        <w:tc>
          <w:tcPr>
            <w:tcW w:type="dxa" w:w="4798"/>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Controller</w:t>
            </w:r>
          </w:p>
        </w:tc>
        <w:tc>
          <w:tcPr>
            <w:tcW w:type="dxa" w:w="5067"/>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[company name]</w:t>
            </w:r>
          </w:p>
        </w:tc>
      </w:tr>
      <w:tr>
        <w:trPr>
          <w:cantSplit w:val="1"/>
        </w:trPr>
        <w:tc>
          <w:tcPr>
            <w:tcW w:type="dxa" w:w="4798"/>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DPIA author</w:t>
            </w:r>
          </w:p>
        </w:tc>
        <w:tc>
          <w:tcPr>
            <w:tcW w:type="dxa" w:w="506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[name, role]</w:t>
            </w:r>
          </w:p>
        </w:tc>
      </w:tr>
      <w:tr>
        <w:trPr>
          <w:cantSplit w:val="1"/>
        </w:trPr>
        <w:tc>
          <w:tcPr>
            <w:tcW w:type="dxa" w:w="4798"/>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DPO consulted</w:t>
            </w:r>
          </w:p>
        </w:tc>
        <w:tc>
          <w:tcPr>
            <w:tcW w:type="dxa" w:w="5067"/>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[name – see Step 3]</w:t>
            </w:r>
          </w:p>
        </w:tc>
      </w:tr>
      <w:tr>
        <w:trPr>
          <w:cantSplit w:val="1"/>
        </w:trPr>
        <w:tc>
          <w:tcPr>
            <w:tcW w:type="dxa" w:w="4798"/>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Date started</w:t>
            </w:r>
          </w:p>
        </w:tc>
        <w:tc>
          <w:tcPr>
            <w:tcW w:type="dxa" w:w="506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[date]</w:t>
            </w:r>
          </w:p>
        </w:tc>
      </w:tr>
      <w:tr>
        <w:trPr>
          <w:cantSplit w:val="1"/>
        </w:trPr>
        <w:tc>
          <w:tcPr>
            <w:tcW w:type="dxa" w:w="4798"/>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Version / status</w:t>
            </w:r>
          </w:p>
        </w:tc>
        <w:tc>
          <w:tcPr>
            <w:tcW w:type="dxa" w:w="5067"/>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[v1.0 – draft / final]</w:t>
            </w:r>
          </w:p>
        </w:tc>
      </w:tr>
    </w:tbl>
    <w:p>
      <w:pPr>
        <w:spacing w:before="0" w:after="0" w:line="16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Step 1 – Do you need a DPIA? (Screening)</w:t>
      </w:r>
    </w:p>
    <w:p>
      <w:pPr>
        <w:spacing w:before="0" w:after="120" w:line="324" w:lineRule="auto"/>
        <w:ind w:left="260" w:right="260"/>
      </w:pPr>
      <w:r>
        <w:rPr>
          <w:rFonts w:ascii="Inter" w:hAnsi="Inter" w:cs="Inter" w:eastAsia="Inter"/>
          <w:b w:val="0"/>
          <w:i w:val="0"/>
          <w:color w:val="35394F"/>
          <w:sz w:val="20"/>
        </w:rPr>
        <w:t>A DPIA is mandatory in the cases listed in Art. 35(3) GDPR, and generally required where two or more of the EDPB criteria below apply. Screen the planned processing first.</w:t>
      </w:r>
    </w:p>
    <w:p>
      <w:pPr>
        <w:keepNext w:val="1"/>
        <w:keepLines w:val="1"/>
        <w:spacing w:before="180" w:after="60" w:line="276" w:lineRule="auto"/>
        <w:ind w:left="260" w:right="260"/>
      </w:pPr>
      <w:r>
        <w:rPr>
          <w:rFonts w:ascii="Funnel Display" w:hAnsi="Funnel Display" w:cs="Funnel Display" w:eastAsia="Funnel Display"/>
          <w:b/>
          <w:i w:val="0"/>
          <w:color w:val="35394F"/>
          <w:sz w:val="21"/>
        </w:rPr>
        <w:t>Always required (Art. 35(3))</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559"/>
        <w:gridCol w:w="7691"/>
        <w:gridCol w:w="1615"/>
      </w:tblGrid>
      <w:tr>
        <w:trPr>
          <w:cantSplit w:val="1"/>
          <w:tblHeader w:val="1"/>
        </w:trPr>
        <w:tc>
          <w:tcPr>
            <w:tcW w:type="dxa" w:w="559"/>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w:t>
            </w:r>
          </w:p>
        </w:tc>
        <w:tc>
          <w:tcPr>
            <w:tcW w:type="dxa" w:w="7691"/>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Mandatory case</w:t>
            </w:r>
          </w:p>
        </w:tc>
        <w:tc>
          <w:tcPr>
            <w:tcW w:type="dxa" w:w="1615"/>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Applies?</w:t>
            </w:r>
          </w:p>
        </w:tc>
      </w:tr>
      <w:tr>
        <w:trPr>
          <w:cantSplit w:val="1"/>
        </w:trPr>
        <w:tc>
          <w:tcPr>
            <w:tcW w:type="dxa" w:w="559"/>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a</w:t>
            </w:r>
          </w:p>
        </w:tc>
        <w:tc>
          <w:tcPr>
            <w:tcW w:type="dxa" w:w="769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Systematic and extensive evaluation/profiling with legal or similarly significant effects</w:t>
            </w:r>
          </w:p>
        </w:tc>
        <w:tc>
          <w:tcPr>
            <w:tcW w:type="dxa" w:w="161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[Yes/No]</w:t>
            </w:r>
          </w:p>
        </w:tc>
      </w:tr>
      <w:tr>
        <w:trPr>
          <w:cantSplit w:val="1"/>
        </w:trPr>
        <w:tc>
          <w:tcPr>
            <w:tcW w:type="dxa" w:w="559"/>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b</w:t>
            </w:r>
          </w:p>
        </w:tc>
        <w:tc>
          <w:tcPr>
            <w:tcW w:type="dxa" w:w="7691"/>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Large-scale processing of special-category (Art. 9) or criminal-offence (Art. 10) data</w:t>
            </w:r>
          </w:p>
        </w:tc>
        <w:tc>
          <w:tcPr>
            <w:tcW w:type="dxa" w:w="1615"/>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[Yes/No]</w:t>
            </w:r>
          </w:p>
        </w:tc>
      </w:tr>
      <w:tr>
        <w:trPr>
          <w:cantSplit w:val="1"/>
        </w:trPr>
        <w:tc>
          <w:tcPr>
            <w:tcW w:type="dxa" w:w="559"/>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c</w:t>
            </w:r>
          </w:p>
        </w:tc>
        <w:tc>
          <w:tcPr>
            <w:tcW w:type="dxa" w:w="769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Systematic monitoring of a publicly accessible area on a large scale</w:t>
            </w:r>
          </w:p>
        </w:tc>
        <w:tc>
          <w:tcPr>
            <w:tcW w:type="dxa" w:w="161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[Yes/No]</w:t>
            </w:r>
          </w:p>
        </w:tc>
      </w:tr>
    </w:tbl>
    <w:p>
      <w:pPr>
        <w:spacing w:before="0" w:after="0" w:line="160" w:lineRule="exact"/>
      </w:pPr>
    </w:p>
    <w:p>
      <w:pPr>
        <w:keepNext w:val="1"/>
        <w:keepLines w:val="1"/>
        <w:spacing w:before="180" w:after="60" w:line="276" w:lineRule="auto"/>
        <w:ind w:left="260" w:right="260"/>
      </w:pPr>
      <w:r>
        <w:rPr>
          <w:rFonts w:ascii="Funnel Display" w:hAnsi="Funnel Display" w:cs="Funnel Display" w:eastAsia="Funnel Display"/>
          <w:b/>
          <w:i w:val="0"/>
          <w:color w:val="35394F"/>
          <w:sz w:val="21"/>
        </w:rPr>
        <w:t>EDPB risk criteria (two or more → DPIA generally required)</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601"/>
        <w:gridCol w:w="7361"/>
        <w:gridCol w:w="1903"/>
      </w:tblGrid>
      <w:tr>
        <w:trPr>
          <w:cantSplit w:val="1"/>
          <w:tblHeader w:val="1"/>
        </w:trPr>
        <w:tc>
          <w:tcPr>
            <w:tcW w:type="dxa" w:w="601"/>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w:t>
            </w:r>
          </w:p>
        </w:tc>
        <w:tc>
          <w:tcPr>
            <w:tcW w:type="dxa" w:w="7361"/>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Criterion</w:t>
            </w:r>
          </w:p>
        </w:tc>
        <w:tc>
          <w:tcPr>
            <w:tcW w:type="dxa" w:w="1903"/>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Applies?</w:t>
            </w:r>
          </w:p>
        </w:tc>
      </w:tr>
      <w:tr>
        <w:trPr>
          <w:cantSplit w:val="1"/>
        </w:trPr>
        <w:tc>
          <w:tcPr>
            <w:tcW w:type="dxa" w:w="601"/>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1</w:t>
            </w:r>
          </w:p>
        </w:tc>
        <w:tc>
          <w:tcPr>
            <w:tcW w:type="dxa" w:w="736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Evaluation or scoring, including profiling and prediction</w:t>
            </w:r>
          </w:p>
        </w:tc>
        <w:tc>
          <w:tcPr>
            <w:tcW w:type="dxa" w:w="1903"/>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[Yes/No]</w:t>
            </w:r>
          </w:p>
        </w:tc>
      </w:tr>
      <w:tr>
        <w:trPr>
          <w:cantSplit w:val="1"/>
        </w:trPr>
        <w:tc>
          <w:tcPr>
            <w:tcW w:type="dxa" w:w="601"/>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2</w:t>
            </w:r>
          </w:p>
        </w:tc>
        <w:tc>
          <w:tcPr>
            <w:tcW w:type="dxa" w:w="7361"/>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Automated decision-making with legal or similarly significant effect</w:t>
            </w:r>
          </w:p>
        </w:tc>
        <w:tc>
          <w:tcPr>
            <w:tcW w:type="dxa" w:w="1903"/>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[Yes/No]</w:t>
            </w:r>
          </w:p>
        </w:tc>
      </w:tr>
      <w:tr>
        <w:trPr>
          <w:cantSplit w:val="1"/>
        </w:trPr>
        <w:tc>
          <w:tcPr>
            <w:tcW w:type="dxa" w:w="601"/>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3</w:t>
            </w:r>
          </w:p>
        </w:tc>
        <w:tc>
          <w:tcPr>
            <w:tcW w:type="dxa" w:w="736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Systematic monitoring</w:t>
            </w:r>
          </w:p>
        </w:tc>
        <w:tc>
          <w:tcPr>
            <w:tcW w:type="dxa" w:w="1903"/>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[Yes/No]</w:t>
            </w:r>
          </w:p>
        </w:tc>
      </w:tr>
      <w:tr>
        <w:trPr>
          <w:cantSplit w:val="1"/>
        </w:trPr>
        <w:tc>
          <w:tcPr>
            <w:tcW w:type="dxa" w:w="601"/>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4</w:t>
            </w:r>
          </w:p>
        </w:tc>
        <w:tc>
          <w:tcPr>
            <w:tcW w:type="dxa" w:w="7361"/>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Sensitive data or data of a highly personal nature</w:t>
            </w:r>
          </w:p>
        </w:tc>
        <w:tc>
          <w:tcPr>
            <w:tcW w:type="dxa" w:w="1903"/>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[Yes/No]</w:t>
            </w:r>
          </w:p>
        </w:tc>
      </w:tr>
      <w:tr>
        <w:trPr>
          <w:cantSplit w:val="1"/>
        </w:trPr>
        <w:tc>
          <w:tcPr>
            <w:tcW w:type="dxa" w:w="601"/>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5</w:t>
            </w:r>
          </w:p>
        </w:tc>
        <w:tc>
          <w:tcPr>
            <w:tcW w:type="dxa" w:w="736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Data processed on a large scale</w:t>
            </w:r>
          </w:p>
        </w:tc>
        <w:tc>
          <w:tcPr>
            <w:tcW w:type="dxa" w:w="1903"/>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[Yes/No]</w:t>
            </w:r>
          </w:p>
        </w:tc>
      </w:tr>
      <w:tr>
        <w:trPr>
          <w:cantSplit w:val="1"/>
        </w:trPr>
        <w:tc>
          <w:tcPr>
            <w:tcW w:type="dxa" w:w="601"/>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6</w:t>
            </w:r>
          </w:p>
        </w:tc>
        <w:tc>
          <w:tcPr>
            <w:tcW w:type="dxa" w:w="7361"/>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Matching or combining datasets</w:t>
            </w:r>
          </w:p>
        </w:tc>
        <w:tc>
          <w:tcPr>
            <w:tcW w:type="dxa" w:w="1903"/>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[Yes/No]</w:t>
            </w:r>
          </w:p>
        </w:tc>
      </w:tr>
      <w:tr>
        <w:trPr>
          <w:cantSplit w:val="1"/>
        </w:trPr>
        <w:tc>
          <w:tcPr>
            <w:tcW w:type="dxa" w:w="601"/>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7</w:t>
            </w:r>
          </w:p>
        </w:tc>
        <w:tc>
          <w:tcPr>
            <w:tcW w:type="dxa" w:w="736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Data concerning vulnerable data subjects (e.g. children, employees)</w:t>
            </w:r>
          </w:p>
        </w:tc>
        <w:tc>
          <w:tcPr>
            <w:tcW w:type="dxa" w:w="1903"/>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[Yes/No]</w:t>
            </w:r>
          </w:p>
        </w:tc>
      </w:tr>
      <w:tr>
        <w:trPr>
          <w:cantSplit w:val="1"/>
        </w:trPr>
        <w:tc>
          <w:tcPr>
            <w:tcW w:type="dxa" w:w="601"/>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8</w:t>
            </w:r>
          </w:p>
        </w:tc>
        <w:tc>
          <w:tcPr>
            <w:tcW w:type="dxa" w:w="7361"/>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Innovative use or applying new technological or organisational solutions</w:t>
            </w:r>
          </w:p>
        </w:tc>
        <w:tc>
          <w:tcPr>
            <w:tcW w:type="dxa" w:w="1903"/>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[Yes/No]</w:t>
            </w:r>
          </w:p>
        </w:tc>
      </w:tr>
      <w:tr>
        <w:trPr>
          <w:cantSplit w:val="1"/>
        </w:trPr>
        <w:tc>
          <w:tcPr>
            <w:tcW w:type="dxa" w:w="601"/>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9</w:t>
            </w:r>
          </w:p>
        </w:tc>
        <w:tc>
          <w:tcPr>
            <w:tcW w:type="dxa" w:w="736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Processing that prevents data subjects from exercising a right or using a service</w:t>
            </w:r>
          </w:p>
        </w:tc>
        <w:tc>
          <w:tcPr>
            <w:tcW w:type="dxa" w:w="1903"/>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[Yes/No]</w:t>
            </w:r>
          </w:p>
        </w:tc>
      </w:tr>
    </w:tbl>
    <w:p>
      <w:pPr>
        <w:spacing w:before="0" w:after="0" w:line="160" w:lineRule="exact"/>
      </w:pPr>
    </w:p>
    <w:p>
      <w:pPr>
        <w:spacing w:before="0" w:after="120" w:line="324" w:lineRule="auto"/>
        <w:ind w:left="260" w:right="260"/>
      </w:pPr>
      <w:r>
        <w:rPr>
          <w:rFonts w:ascii="Inter" w:hAnsi="Inter" w:cs="Inter" w:eastAsia="Inter"/>
          <w:b w:val="0"/>
          <w:i w:val="0"/>
          <w:color w:val="35394F"/>
          <w:sz w:val="20"/>
        </w:rPr>
        <w:t xml:space="preserve">Screening outcome: </w:t>
      </w:r>
      <w:r>
        <w:rPr>
          <w:rFonts w:ascii="Inter" w:hAnsi="Inter" w:cs="Inter" w:eastAsia="Inter"/>
          <w:b/>
          <w:i w:val="0"/>
          <w:color w:val="E34663"/>
          <w:sz w:val="20"/>
        </w:rPr>
        <w:t>[DPIA required – continue to Step 2  /  DPIA not required – record this conclusion and the reasoning, then stop]</w:t>
      </w:r>
      <w:r>
        <w:rPr>
          <w:rFonts w:ascii="Inter" w:hAnsi="Inter" w:cs="Inter" w:eastAsia="Inter"/>
          <w:b w:val="0"/>
          <w:i w:val="0"/>
          <w:color w:val="35394F"/>
          <w:sz w:val="20"/>
        </w:rPr>
        <w:t>.</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w:t>
            </w:r>
            <w:r>
              <w:rPr>
                <w:rFonts w:ascii="Inter" w:hAnsi="Inter" w:cs="Inter" w:eastAsia="Inter"/>
                <w:b w:val="0"/>
                <w:i w:val="0"/>
                <w:color w:val="35394F"/>
                <w:sz w:val="16"/>
              </w:rPr>
              <w:t>If in doubt, do the DPIA – it is cheaper than a finding. If you conclude no DPIA is needed, document why; that record is itself part of your accountability.</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Step 2 – Describe the processing</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2580"/>
        <w:gridCol w:w="7285"/>
      </w:tblGrid>
      <w:tr>
        <w:trPr>
          <w:cantSplit w:val="1"/>
          <w:tblHeader w:val="1"/>
        </w:trPr>
        <w:tc>
          <w:tcPr>
            <w:tcW w:type="dxa" w:w="2580"/>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Item</w:t>
            </w:r>
          </w:p>
        </w:tc>
        <w:tc>
          <w:tcPr>
            <w:tcW w:type="dxa" w:w="7285"/>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Description</w:t>
            </w:r>
          </w:p>
        </w:tc>
      </w:tr>
      <w:tr>
        <w:trPr>
          <w:cantSplit w:val="1"/>
        </w:trPr>
        <w:tc>
          <w:tcPr>
            <w:tcW w:type="dxa" w:w="2580"/>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Nature of processing</w:t>
            </w:r>
          </w:p>
        </w:tc>
        <w:tc>
          <w:tcPr>
            <w:tcW w:type="dxa" w:w="728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[what you plan to do with the data: collection, use, storage, sharing, deletion]</w:t>
            </w:r>
          </w:p>
        </w:tc>
      </w:tr>
      <w:tr>
        <w:trPr>
          <w:cantSplit w:val="1"/>
        </w:trPr>
        <w:tc>
          <w:tcPr>
            <w:tcW w:type="dxa" w:w="2580"/>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Scope</w:t>
            </w:r>
          </w:p>
        </w:tc>
        <w:tc>
          <w:tcPr>
            <w:tcW w:type="dxa" w:w="7285"/>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[volume and variety of data, number of data subjects, geographic extent, retention period]</w:t>
            </w:r>
          </w:p>
        </w:tc>
      </w:tr>
      <w:tr>
        <w:trPr>
          <w:cantSplit w:val="1"/>
        </w:trPr>
        <w:tc>
          <w:tcPr>
            <w:tcW w:type="dxa" w:w="2580"/>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Context</w:t>
            </w:r>
          </w:p>
        </w:tc>
        <w:tc>
          <w:tcPr>
            <w:tcW w:type="dxa" w:w="728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[relationship with individuals, their expectations, prior concerns, state of the art]</w:t>
            </w:r>
          </w:p>
        </w:tc>
      </w:tr>
      <w:tr>
        <w:trPr>
          <w:cantSplit w:val="1"/>
        </w:trPr>
        <w:tc>
          <w:tcPr>
            <w:tcW w:type="dxa" w:w="2580"/>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Purposes</w:t>
            </w:r>
          </w:p>
        </w:tc>
        <w:tc>
          <w:tcPr>
            <w:tcW w:type="dxa" w:w="7285"/>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[what you want to achieve; the intended effect on individuals; the benefit]</w:t>
            </w:r>
          </w:p>
        </w:tc>
      </w:tr>
      <w:tr>
        <w:trPr>
          <w:cantSplit w:val="1"/>
        </w:trPr>
        <w:tc>
          <w:tcPr>
            <w:tcW w:type="dxa" w:w="2580"/>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Data types</w:t>
            </w:r>
          </w:p>
        </w:tc>
        <w:tc>
          <w:tcPr>
            <w:tcW w:type="dxa" w:w="728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[categories of personal data, incl. any special-category data]</w:t>
            </w:r>
          </w:p>
        </w:tc>
      </w:tr>
      <w:tr>
        <w:trPr>
          <w:cantSplit w:val="1"/>
        </w:trPr>
        <w:tc>
          <w:tcPr>
            <w:tcW w:type="dxa" w:w="2580"/>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Data subjects</w:t>
            </w:r>
          </w:p>
        </w:tc>
        <w:tc>
          <w:tcPr>
            <w:tcW w:type="dxa" w:w="7285"/>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[whose data: customers, employees, etc.]</w:t>
            </w:r>
          </w:p>
        </w:tc>
      </w:tr>
      <w:tr>
        <w:trPr>
          <w:cantSplit w:val="1"/>
        </w:trPr>
        <w:tc>
          <w:tcPr>
            <w:tcW w:type="dxa" w:w="2580"/>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Recipients / processors</w:t>
            </w:r>
          </w:p>
        </w:tc>
        <w:tc>
          <w:tcPr>
            <w:tcW w:type="dxa" w:w="728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[who receives the data; processors involved]</w:t>
            </w:r>
          </w:p>
        </w:tc>
      </w:tr>
      <w:tr>
        <w:trPr>
          <w:cantSplit w:val="1"/>
        </w:trPr>
        <w:tc>
          <w:tcPr>
            <w:tcW w:type="dxa" w:w="2580"/>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International transfers</w:t>
            </w:r>
          </w:p>
        </w:tc>
        <w:tc>
          <w:tcPr>
            <w:tcW w:type="dxa" w:w="7285"/>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[any transfer outside the EU/EEA + safeguard]</w:t>
            </w:r>
          </w:p>
        </w:tc>
      </w:tr>
    </w:tbl>
    <w:p>
      <w:pPr>
        <w:spacing w:before="0" w:after="0" w:line="16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Step 3 – Consultation</w:t>
      </w:r>
    </w:p>
    <w:p>
      <w:pPr>
        <w:spacing w:before="0" w:after="120" w:line="324" w:lineRule="auto"/>
        <w:ind w:left="260" w:right="260"/>
      </w:pPr>
      <w:r>
        <w:rPr>
          <w:rFonts w:ascii="Inter" w:hAnsi="Inter" w:cs="Inter" w:eastAsia="Inter"/>
          <w:b w:val="0"/>
          <w:i w:val="0"/>
          <w:color w:val="35394F"/>
          <w:sz w:val="20"/>
        </w:rPr>
        <w:t>Record the advice of the DPO and the views of relevant stakeholders and, where appropriate, data subjects (Art. 35(2), 35(9)).</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3862"/>
        <w:gridCol w:w="4684"/>
        <w:gridCol w:w="1319"/>
      </w:tblGrid>
      <w:tr>
        <w:trPr>
          <w:cantSplit w:val="1"/>
          <w:tblHeader w:val="1"/>
        </w:trPr>
        <w:tc>
          <w:tcPr>
            <w:tcW w:type="dxa" w:w="3862"/>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Consulted</w:t>
            </w:r>
          </w:p>
        </w:tc>
        <w:tc>
          <w:tcPr>
            <w:tcW w:type="dxa" w:w="4684"/>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Input / advice</w:t>
            </w:r>
          </w:p>
        </w:tc>
        <w:tc>
          <w:tcPr>
            <w:tcW w:type="dxa" w:w="1319"/>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Date</w:t>
            </w:r>
          </w:p>
        </w:tc>
      </w:tr>
      <w:tr>
        <w:trPr>
          <w:cantSplit w:val="1"/>
        </w:trPr>
        <w:tc>
          <w:tcPr>
            <w:tcW w:type="dxa" w:w="3862"/>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Data Protection Officer</w:t>
            </w:r>
          </w:p>
        </w:tc>
        <w:tc>
          <w:tcPr>
            <w:tcW w:type="dxa" w:w="4684"/>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[DPO's documented advice]</w:t>
            </w:r>
          </w:p>
        </w:tc>
        <w:tc>
          <w:tcPr>
            <w:tcW w:type="dxa" w:w="1319"/>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[date]</w:t>
            </w:r>
          </w:p>
        </w:tc>
      </w:tr>
      <w:tr>
        <w:trPr>
          <w:cantSplit w:val="1"/>
        </w:trPr>
        <w:tc>
          <w:tcPr>
            <w:tcW w:type="dxa" w:w="3862"/>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Internal stakeholders</w:t>
            </w:r>
          </w:p>
        </w:tc>
        <w:tc>
          <w:tcPr>
            <w:tcW w:type="dxa" w:w="4684"/>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[IT / security / business owner input]</w:t>
            </w:r>
          </w:p>
        </w:tc>
        <w:tc>
          <w:tcPr>
            <w:tcW w:type="dxa" w:w="1319"/>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[date]</w:t>
            </w:r>
          </w:p>
        </w:tc>
      </w:tr>
      <w:tr>
        <w:trPr>
          <w:cantSplit w:val="1"/>
        </w:trPr>
        <w:tc>
          <w:tcPr>
            <w:tcW w:type="dxa" w:w="3862"/>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Data subjects (if appropriate)</w:t>
            </w:r>
          </w:p>
        </w:tc>
        <w:tc>
          <w:tcPr>
            <w:tcW w:type="dxa" w:w="4684"/>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[how their views were sought, or why not]</w:t>
            </w:r>
          </w:p>
        </w:tc>
        <w:tc>
          <w:tcPr>
            <w:tcW w:type="dxa" w:w="1319"/>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[date]</w:t>
            </w:r>
          </w:p>
        </w:tc>
      </w:tr>
    </w:tbl>
    <w:p>
      <w:pPr>
        <w:spacing w:before="0" w:after="0" w:line="16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Step 4 – Assess necessity and proportionality</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3740"/>
        <w:gridCol w:w="6125"/>
      </w:tblGrid>
      <w:tr>
        <w:trPr>
          <w:cantSplit w:val="1"/>
          <w:tblHeader w:val="1"/>
        </w:trPr>
        <w:tc>
          <w:tcPr>
            <w:tcW w:type="dxa" w:w="3740"/>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Question</w:t>
            </w:r>
          </w:p>
        </w:tc>
        <w:tc>
          <w:tcPr>
            <w:tcW w:type="dxa" w:w="6125"/>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Assessment</w:t>
            </w:r>
          </w:p>
        </w:tc>
      </w:tr>
      <w:tr>
        <w:trPr>
          <w:cantSplit w:val="1"/>
        </w:trPr>
        <w:tc>
          <w:tcPr>
            <w:tcW w:type="dxa" w:w="3740"/>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Lawful basis (Art. 6)</w:t>
            </w:r>
          </w:p>
        </w:tc>
        <w:tc>
          <w:tcPr>
            <w:tcW w:type="dxa" w:w="612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[which basis, and why it fits]</w:t>
            </w:r>
          </w:p>
        </w:tc>
      </w:tr>
      <w:tr>
        <w:trPr>
          <w:cantSplit w:val="1"/>
        </w:trPr>
        <w:tc>
          <w:tcPr>
            <w:tcW w:type="dxa" w:w="3740"/>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Purpose limitation</w:t>
            </w:r>
          </w:p>
        </w:tc>
        <w:tc>
          <w:tcPr>
            <w:tcW w:type="dxa" w:w="6125"/>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[data used only for the stated purpose?]</w:t>
            </w:r>
          </w:p>
        </w:tc>
      </w:tr>
      <w:tr>
        <w:trPr>
          <w:cantSplit w:val="1"/>
        </w:trPr>
        <w:tc>
          <w:tcPr>
            <w:tcW w:type="dxa" w:w="3740"/>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Data minimisation</w:t>
            </w:r>
          </w:p>
        </w:tc>
        <w:tc>
          <w:tcPr>
            <w:tcW w:type="dxa" w:w="612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[is each data item necessary? what was excluded?]</w:t>
            </w:r>
          </w:p>
        </w:tc>
      </w:tr>
      <w:tr>
        <w:trPr>
          <w:cantSplit w:val="1"/>
        </w:trPr>
        <w:tc>
          <w:tcPr>
            <w:tcW w:type="dxa" w:w="3740"/>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Accuracy &amp; retention</w:t>
            </w:r>
          </w:p>
        </w:tc>
        <w:tc>
          <w:tcPr>
            <w:tcW w:type="dxa" w:w="6125"/>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[how kept accurate; how long kept; deletion]</w:t>
            </w:r>
          </w:p>
        </w:tc>
      </w:tr>
      <w:tr>
        <w:trPr>
          <w:cantSplit w:val="1"/>
        </w:trPr>
        <w:tc>
          <w:tcPr>
            <w:tcW w:type="dxa" w:w="3740"/>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Data-subject rights</w:t>
            </w:r>
          </w:p>
        </w:tc>
        <w:tc>
          <w:tcPr>
            <w:tcW w:type="dxa" w:w="612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[how access, rectification, erasure, objection are supported]</w:t>
            </w:r>
          </w:p>
        </w:tc>
      </w:tr>
      <w:tr>
        <w:trPr>
          <w:cantSplit w:val="1"/>
        </w:trPr>
        <w:tc>
          <w:tcPr>
            <w:tcW w:type="dxa" w:w="3740"/>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Processor compliance</w:t>
            </w:r>
          </w:p>
        </w:tc>
        <w:tc>
          <w:tcPr>
            <w:tcW w:type="dxa" w:w="6125"/>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[Art. 28 DPA in place? safeguards?]</w:t>
            </w:r>
          </w:p>
        </w:tc>
      </w:tr>
      <w:tr>
        <w:trPr>
          <w:cantSplit w:val="1"/>
        </w:trPr>
        <w:tc>
          <w:tcPr>
            <w:tcW w:type="dxa" w:w="3740"/>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International transfers</w:t>
            </w:r>
          </w:p>
        </w:tc>
        <w:tc>
          <w:tcPr>
            <w:tcW w:type="dxa" w:w="612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[safeguard documented?]</w:t>
            </w:r>
          </w:p>
        </w:tc>
      </w:tr>
    </w:tbl>
    <w:p>
      <w:pPr>
        <w:spacing w:before="0" w:after="0" w:line="16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Step 5 – Identify and assess the risks</w:t>
      </w:r>
    </w:p>
    <w:p>
      <w:pPr>
        <w:spacing w:before="0" w:after="120" w:line="324" w:lineRule="auto"/>
        <w:ind w:left="260" w:right="260"/>
      </w:pPr>
      <w:r>
        <w:rPr>
          <w:rFonts w:ascii="Inter" w:hAnsi="Inter" w:cs="Inter" w:eastAsia="Inter"/>
          <w:b w:val="0"/>
          <w:i w:val="0"/>
          <w:color w:val="35394F"/>
          <w:sz w:val="20"/>
        </w:rPr>
        <w:t>For each risk to individuals' rights and freedoms, rate likelihood and severity, then read the overall risk level from the matrix below.</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3286"/>
        <w:gridCol w:w="2022"/>
        <w:gridCol w:w="2449"/>
        <w:gridCol w:w="2107"/>
      </w:tblGrid>
      <w:tr>
        <w:trPr>
          <w:cantSplit w:val="1"/>
          <w:tblHeader w:val="1"/>
        </w:trPr>
        <w:tc>
          <w:tcPr>
            <w:tcW w:type="dxa" w:w="3286"/>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Likelihood ↓ / Severity →</w:t>
            </w:r>
          </w:p>
        </w:tc>
        <w:tc>
          <w:tcPr>
            <w:tcW w:type="dxa" w:w="2022"/>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Minimal</w:t>
            </w:r>
          </w:p>
        </w:tc>
        <w:tc>
          <w:tcPr>
            <w:tcW w:type="dxa" w:w="2449"/>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Significant</w:t>
            </w:r>
          </w:p>
        </w:tc>
        <w:tc>
          <w:tcPr>
            <w:tcW w:type="dxa" w:w="2107"/>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Severe</w:t>
            </w:r>
          </w:p>
        </w:tc>
      </w:tr>
      <w:tr>
        <w:trPr>
          <w:cantSplit w:val="1"/>
        </w:trPr>
        <w:tc>
          <w:tcPr>
            <w:tcW w:type="dxa" w:w="3286"/>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Remote</w:t>
            </w:r>
          </w:p>
        </w:tc>
        <w:tc>
          <w:tcPr>
            <w:tcW w:type="dxa" w:w="2022"/>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Low</w:t>
            </w:r>
          </w:p>
        </w:tc>
        <w:tc>
          <w:tcPr>
            <w:tcW w:type="dxa" w:w="2449"/>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Low</w:t>
            </w:r>
          </w:p>
        </w:tc>
        <w:tc>
          <w:tcPr>
            <w:tcW w:type="dxa" w:w="210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Medium</w:t>
            </w:r>
          </w:p>
        </w:tc>
      </w:tr>
      <w:tr>
        <w:trPr>
          <w:cantSplit w:val="1"/>
        </w:trPr>
        <w:tc>
          <w:tcPr>
            <w:tcW w:type="dxa" w:w="3286"/>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Possible</w:t>
            </w:r>
          </w:p>
        </w:tc>
        <w:tc>
          <w:tcPr>
            <w:tcW w:type="dxa" w:w="2022"/>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Low</w:t>
            </w:r>
          </w:p>
        </w:tc>
        <w:tc>
          <w:tcPr>
            <w:tcW w:type="dxa" w:w="2449"/>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Medium</w:t>
            </w:r>
          </w:p>
        </w:tc>
        <w:tc>
          <w:tcPr>
            <w:tcW w:type="dxa" w:w="2107"/>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High</w:t>
            </w:r>
          </w:p>
        </w:tc>
      </w:tr>
      <w:tr>
        <w:trPr>
          <w:cantSplit w:val="1"/>
        </w:trPr>
        <w:tc>
          <w:tcPr>
            <w:tcW w:type="dxa" w:w="3286"/>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Probable</w:t>
            </w:r>
          </w:p>
        </w:tc>
        <w:tc>
          <w:tcPr>
            <w:tcW w:type="dxa" w:w="2022"/>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Medium</w:t>
            </w:r>
          </w:p>
        </w:tc>
        <w:tc>
          <w:tcPr>
            <w:tcW w:type="dxa" w:w="2449"/>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High</w:t>
            </w:r>
          </w:p>
        </w:tc>
        <w:tc>
          <w:tcPr>
            <w:tcW w:type="dxa" w:w="210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High</w:t>
            </w:r>
          </w:p>
        </w:tc>
      </w:tr>
    </w:tbl>
    <w:p>
      <w:pPr>
        <w:spacing w:before="0" w:after="0" w:line="16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515"/>
        <w:gridCol w:w="2117"/>
        <w:gridCol w:w="2744"/>
        <w:gridCol w:w="2781"/>
        <w:gridCol w:w="1707"/>
      </w:tblGrid>
      <w:tr>
        <w:trPr>
          <w:cantSplit w:val="1"/>
          <w:tblHeader w:val="1"/>
        </w:trPr>
        <w:tc>
          <w:tcPr>
            <w:tcW w:type="dxa" w:w="515"/>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w:t>
            </w:r>
          </w:p>
        </w:tc>
        <w:tc>
          <w:tcPr>
            <w:tcW w:type="dxa" w:w="2117"/>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Risk to individuals</w:t>
            </w:r>
          </w:p>
        </w:tc>
        <w:tc>
          <w:tcPr>
            <w:tcW w:type="dxa" w:w="2744"/>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Likelihood</w:t>
            </w:r>
          </w:p>
        </w:tc>
        <w:tc>
          <w:tcPr>
            <w:tcW w:type="dxa" w:w="2781"/>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Severity</w:t>
            </w:r>
          </w:p>
        </w:tc>
        <w:tc>
          <w:tcPr>
            <w:tcW w:type="dxa" w:w="1707"/>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Overall risk</w:t>
            </w:r>
          </w:p>
        </w:tc>
      </w:tr>
      <w:tr>
        <w:trPr>
          <w:cantSplit w:val="1"/>
        </w:trPr>
        <w:tc>
          <w:tcPr>
            <w:tcW w:type="dxa" w:w="515"/>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1</w:t>
            </w:r>
          </w:p>
        </w:tc>
        <w:tc>
          <w:tcPr>
            <w:tcW w:type="dxa" w:w="211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[e.g. unauthorised access to customer data]</w:t>
            </w:r>
          </w:p>
        </w:tc>
        <w:tc>
          <w:tcPr>
            <w:tcW w:type="dxa" w:w="2744"/>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[Remote/Possible/Probable]</w:t>
            </w:r>
          </w:p>
        </w:tc>
        <w:tc>
          <w:tcPr>
            <w:tcW w:type="dxa" w:w="278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[Minimal/Significant/Severe]</w:t>
            </w:r>
          </w:p>
        </w:tc>
        <w:tc>
          <w:tcPr>
            <w:tcW w:type="dxa" w:w="170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[Low/Med/High]</w:t>
            </w:r>
          </w:p>
        </w:tc>
      </w:tr>
      <w:tr>
        <w:trPr>
          <w:cantSplit w:val="1"/>
        </w:trPr>
        <w:tc>
          <w:tcPr>
            <w:tcW w:type="dxa" w:w="515"/>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2</w:t>
            </w:r>
          </w:p>
        </w:tc>
        <w:tc>
          <w:tcPr>
            <w:tcW w:type="dxa" w:w="2117"/>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[e.g. data retained longer than necessary]</w:t>
            </w:r>
          </w:p>
        </w:tc>
        <w:tc>
          <w:tcPr>
            <w:tcW w:type="dxa" w:w="2744"/>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2781"/>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707"/>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r>
      <w:tr>
        <w:trPr>
          <w:cantSplit w:val="1"/>
        </w:trPr>
        <w:tc>
          <w:tcPr>
            <w:tcW w:type="dxa" w:w="515"/>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3</w:t>
            </w:r>
          </w:p>
        </w:tc>
        <w:tc>
          <w:tcPr>
            <w:tcW w:type="dxa" w:w="211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[e.g. function creep – data reused for new purpose]</w:t>
            </w:r>
          </w:p>
        </w:tc>
        <w:tc>
          <w:tcPr>
            <w:tcW w:type="dxa" w:w="2744"/>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278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70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r>
      <w:tr>
        <w:trPr>
          <w:cantSplit w:val="1"/>
        </w:trPr>
        <w:tc>
          <w:tcPr>
            <w:tcW w:type="dxa" w:w="515"/>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4</w:t>
            </w:r>
          </w:p>
        </w:tc>
        <w:tc>
          <w:tcPr>
            <w:tcW w:type="dxa" w:w="2117"/>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2744"/>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2781"/>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707"/>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r>
    </w:tbl>
    <w:p>
      <w:pPr>
        <w:spacing w:before="0" w:after="0" w:line="16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Step 6 – Identify measures to reduce the risk</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798"/>
        <w:gridCol w:w="2822"/>
        <w:gridCol w:w="3176"/>
        <w:gridCol w:w="1768"/>
        <w:gridCol w:w="1300"/>
      </w:tblGrid>
      <w:tr>
        <w:trPr>
          <w:cantSplit w:val="1"/>
          <w:tblHeader w:val="1"/>
        </w:trPr>
        <w:tc>
          <w:tcPr>
            <w:tcW w:type="dxa" w:w="798"/>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Risk #</w:t>
            </w:r>
          </w:p>
        </w:tc>
        <w:tc>
          <w:tcPr>
            <w:tcW w:type="dxa" w:w="2822"/>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Measure to reduce or eliminate the risk</w:t>
            </w:r>
          </w:p>
        </w:tc>
        <w:tc>
          <w:tcPr>
            <w:tcW w:type="dxa" w:w="3176"/>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Effect</w:t>
            </w:r>
          </w:p>
        </w:tc>
        <w:tc>
          <w:tcPr>
            <w:tcW w:type="dxa" w:w="1768"/>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Residual risk</w:t>
            </w:r>
          </w:p>
        </w:tc>
        <w:tc>
          <w:tcPr>
            <w:tcW w:type="dxa" w:w="1300"/>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Approved</w:t>
            </w:r>
          </w:p>
        </w:tc>
      </w:tr>
      <w:tr>
        <w:trPr>
          <w:cantSplit w:val="1"/>
        </w:trPr>
        <w:tc>
          <w:tcPr>
            <w:tcW w:type="dxa" w:w="798"/>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1</w:t>
            </w:r>
          </w:p>
        </w:tc>
        <w:tc>
          <w:tcPr>
            <w:tcW w:type="dxa" w:w="2822"/>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[e.g. enforce MFA + encryption at rest; restrict access by role]</w:t>
            </w:r>
          </w:p>
        </w:tc>
        <w:tc>
          <w:tcPr>
            <w:tcW w:type="dxa" w:w="3176"/>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[Eliminated/Reduced/Accepted]</w:t>
            </w:r>
          </w:p>
        </w:tc>
        <w:tc>
          <w:tcPr>
            <w:tcW w:type="dxa" w:w="1768"/>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[Low/Med/High]</w:t>
            </w:r>
          </w:p>
        </w:tc>
        <w:tc>
          <w:tcPr>
            <w:tcW w:type="dxa" w:w="1300"/>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[Yes/No]</w:t>
            </w:r>
          </w:p>
        </w:tc>
      </w:tr>
      <w:tr>
        <w:trPr>
          <w:cantSplit w:val="1"/>
        </w:trPr>
        <w:tc>
          <w:tcPr>
            <w:tcW w:type="dxa" w:w="798"/>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2</w:t>
            </w:r>
          </w:p>
        </w:tc>
        <w:tc>
          <w:tcPr>
            <w:tcW w:type="dxa" w:w="2822"/>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[e.g. automated deletion schedule]</w:t>
            </w:r>
          </w:p>
        </w:tc>
        <w:tc>
          <w:tcPr>
            <w:tcW w:type="dxa" w:w="3176"/>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768"/>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300"/>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r>
      <w:tr>
        <w:trPr>
          <w:cantSplit w:val="1"/>
        </w:trPr>
        <w:tc>
          <w:tcPr>
            <w:tcW w:type="dxa" w:w="798"/>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3</w:t>
            </w:r>
          </w:p>
        </w:tc>
        <w:tc>
          <w:tcPr>
            <w:tcW w:type="dxa" w:w="2822"/>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[e.g. strict purpose-binding + change control]</w:t>
            </w:r>
          </w:p>
        </w:tc>
        <w:tc>
          <w:tcPr>
            <w:tcW w:type="dxa" w:w="3176"/>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768"/>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300"/>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r>
      <w:tr>
        <w:trPr>
          <w:cantSplit w:val="1"/>
        </w:trPr>
        <w:tc>
          <w:tcPr>
            <w:tcW w:type="dxa" w:w="798"/>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4</w:t>
            </w:r>
          </w:p>
        </w:tc>
        <w:tc>
          <w:tcPr>
            <w:tcW w:type="dxa" w:w="2822"/>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3176"/>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768"/>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300"/>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r>
    </w:tbl>
    <w:p>
      <w:pPr>
        <w:spacing w:before="0" w:after="0" w:line="16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Step 7 – Sign off and record the outcome</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2884"/>
        <w:gridCol w:w="6980"/>
      </w:tblGrid>
      <w:tr>
        <w:trPr>
          <w:cantSplit w:val="1"/>
          <w:tblHeader w:val="1"/>
        </w:trPr>
        <w:tc>
          <w:tcPr>
            <w:tcW w:type="dxa" w:w="2884"/>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Item</w:t>
            </w:r>
          </w:p>
        </w:tc>
        <w:tc>
          <w:tcPr>
            <w:tcW w:type="dxa" w:w="6980"/>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Outcome</w:t>
            </w:r>
          </w:p>
        </w:tc>
      </w:tr>
      <w:tr>
        <w:trPr>
          <w:cantSplit w:val="1"/>
        </w:trPr>
        <w:tc>
          <w:tcPr>
            <w:tcW w:type="dxa" w:w="2884"/>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DPO advice</w:t>
            </w:r>
          </w:p>
        </w:tc>
        <w:tc>
          <w:tcPr>
            <w:tcW w:type="dxa" w:w="6980"/>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[advice provided – accepted / overruled, with reasons]</w:t>
            </w:r>
          </w:p>
        </w:tc>
      </w:tr>
      <w:tr>
        <w:trPr>
          <w:cantSplit w:val="1"/>
        </w:trPr>
        <w:tc>
          <w:tcPr>
            <w:tcW w:type="dxa" w:w="2884"/>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Residual risk</w:t>
            </w:r>
          </w:p>
        </w:tc>
        <w:tc>
          <w:tcPr>
            <w:tcW w:type="dxa" w:w="6980"/>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[overall residual risk after measures: Low / Medium / High]</w:t>
            </w:r>
          </w:p>
        </w:tc>
      </w:tr>
      <w:tr>
        <w:trPr>
          <w:cantSplit w:val="1"/>
        </w:trPr>
        <w:tc>
          <w:tcPr>
            <w:tcW w:type="dxa" w:w="2884"/>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Prior consultation (Art. 36)</w:t>
            </w:r>
          </w:p>
        </w:tc>
        <w:tc>
          <w:tcPr>
            <w:tcW w:type="dxa" w:w="6980"/>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[required? Yes if high residual risk remains and cannot be mitigated – consult the supervisory authority before processing]</w:t>
            </w:r>
          </w:p>
        </w:tc>
      </w:tr>
      <w:tr>
        <w:trPr>
          <w:cantSplit w:val="1"/>
        </w:trPr>
        <w:tc>
          <w:tcPr>
            <w:tcW w:type="dxa" w:w="2884"/>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Measures approved by</w:t>
            </w:r>
          </w:p>
        </w:tc>
        <w:tc>
          <w:tcPr>
            <w:tcW w:type="dxa" w:w="6980"/>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[name, role, date]</w:t>
            </w:r>
          </w:p>
        </w:tc>
      </w:tr>
      <w:tr>
        <w:trPr>
          <w:cantSplit w:val="1"/>
        </w:trPr>
        <w:tc>
          <w:tcPr>
            <w:tcW w:type="dxa" w:w="2884"/>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Review date</w:t>
            </w:r>
          </w:p>
        </w:tc>
        <w:tc>
          <w:tcPr>
            <w:tcW w:type="dxa" w:w="6980"/>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[when this DPIA will be reviewed, e.g. annually or on change]</w:t>
            </w:r>
          </w:p>
        </w:tc>
      </w:tr>
    </w:tbl>
    <w:p>
      <w:pPr>
        <w:spacing w:before="0" w:after="0" w:line="16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w:t>
            </w:r>
            <w:r>
              <w:rPr>
                <w:rFonts w:ascii="Inter" w:hAnsi="Inter" w:cs="Inter" w:eastAsia="Inter"/>
                <w:b w:val="0"/>
                <w:i w:val="0"/>
                <w:color w:val="35394F"/>
                <w:sz w:val="16"/>
              </w:rPr>
              <w:t>If a high residual risk remains that you cannot mitigate, you must consult your supervisory authority before starting the processing (Art. 36 GDPR). Otherwise, the DPO and accountable owner sign off, and you review the DPIA whenever the processing changes.</w:t>
            </w:r>
          </w:p>
        </w:tc>
      </w:tr>
    </w:tbl>
    <w:p>
      <w:pPr>
        <w:spacing w:before="0" w:after="0" w:line="120" w:lineRule="exact"/>
      </w:pPr>
    </w:p>
    <w:p>
      <w:pPr>
        <w:spacing w:before="0" w:after="120" w:line="324" w:lineRule="auto"/>
        <w:ind w:left="260" w:right="260"/>
      </w:pPr>
      <w:r>
        <w:rPr>
          <w:rFonts w:ascii="Inter" w:hAnsi="Inter" w:cs="Inter" w:eastAsia="Inter"/>
          <w:b w:val="0"/>
          <w:i w:val="0"/>
          <w:color w:val="35394F"/>
          <w:sz w:val="20"/>
        </w:rPr>
        <w:t>This template is provided for guidance only and does not constitute legal advice. Reviewed by a certified Data Protection Officer (CIPP/E) · ETHYX · ethyx.eu</w:t>
      </w:r>
    </w:p>
    <w:sectPr w:rsidR="00FC693F" w:rsidRPr="0006063C" w:rsidSect="00034616">
      <w:footerReference w:type="default" r:id="rId11"/>
      <w:pgSz w:w="11906" w:h="16838"/>
      <w:pgMar w:top="794" w:right="1020" w:bottom="850" w:left="1020" w:header="454"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Inter">
    <w:altName w:val="Arial"/>
    <w:embedRegular r:id="rId1" w:fontKey="{AA5ED709-F71B-4B86-B671-82C7E556311B}"/>
    <w:embedBold r:id="rId2" w:fontKey="{D1FB2384-FC7B-481C-BB85-0E60D0B45B36}"/>
  </w:font>
  <w:font w:name="Funnel Display">
    <w:altName w:val="Arial"/>
    <w:embedBold r:id="rId3" w:fontKey="{79CC97C1-D283-47E1-BD16-57E1486C346B}"/>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line="20" w:lineRule="exact"/>
    </w:pPr>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371"/>
      <w:gridCol w:w="493"/>
    </w:tblGrid>
    <w:tr>
      <w:tc>
        <w:tcPr>
          <w:tcW w:type="dxa" w:w="9371"/>
          <w:tcBorders>
            <w:top w:val="single" w:sz="4" w:space="0" w:color="E5E7EB"/>
          </w:tcBorders>
          <w:tcMar>
            <w:top w:w="110" w:type="dxa"/>
            <w:left w:w="0" w:type="dxa"/>
            <w:bottom w:w="0" w:type="dxa"/>
            <w:right w:w="0" w:type="dxa"/>
          </w:tcMar>
        </w:tcPr>
        <w:p>
          <w:pPr>
            <w:spacing w:before="0" w:after="0" w:line="240" w:lineRule="auto"/>
          </w:pPr>
          <w:r>
            <w:rPr>
              <w:rFonts w:ascii="Inter" w:hAnsi="Inter" w:cs="Inter" w:eastAsia="Inter"/>
              <w:b w:val="0"/>
              <w:i w:val="0"/>
              <w:color w:val="6B7280"/>
              <w:sz w:val="14"/>
            </w:rPr>
            <w:t>Data Protection Impact Assessment (DPIA) · Reviewed by a certified Data Protection Officer (CIPP/E) · Provided by ETHYX (</w:t>
          </w:r>
          <w:hyperlink r:id="rId1">
            <w:r>
              <w:rPr>
                <w:rFonts w:ascii="Inter" w:hAnsi="Inter" w:cs="Inter" w:eastAsia="Inter"/>
                <w:b w:val="0"/>
                <w:i w:val="0"/>
                <w:color w:val="6B7280"/>
                <w:sz w:val="14"/>
              </w:rPr>
              <w:t>ethyx.eu</w:t>
            </w:r>
          </w:hyperlink>
          <w:r>
            <w:rPr>
              <w:rFonts w:ascii="Inter" w:hAnsi="Inter" w:cs="Inter" w:eastAsia="Inter"/>
              <w:b w:val="0"/>
              <w:i w:val="0"/>
              <w:color w:val="6B7280"/>
              <w:sz w:val="14"/>
            </w:rPr>
            <w:t>) · For guidance only – not legal advice</w:t>
          </w:r>
        </w:p>
      </w:tc>
      <w:tc>
        <w:tcPr>
          <w:tcW w:type="dxa" w:w="493"/>
          <w:tcBorders>
            <w:top w:val="single" w:sz="4" w:space="0" w:color="E5E7EB"/>
          </w:tcBorders>
          <w:tcMar>
            <w:top w:w="110" w:type="dxa"/>
            <w:left w:w="0" w:type="dxa"/>
            <w:bottom w:w="0" w:type="dxa"/>
            <w:right w:w="260" w:type="dxa"/>
          </w:tcMar>
        </w:tcPr>
        <w:p>
          <w:pPr>
            <w:spacing w:before="0" w:after="0" w:line="240" w:lineRule="auto"/>
            <w:jc w:val="right"/>
            <w:rPr>
              <w:rFonts w:ascii="Inter" w:hAnsi="Inter" w:cs="Inter" w:eastAsia="Inter"/>
              <w:b w:val="0"/>
              <w:i w:val="0"/>
              <w:color w:val="6B7280"/>
              <w:sz w:val="14"/>
            </w:rPr>
          </w:pPr>
          <w:r>
            <w:rPr>
              <w:rFonts w:ascii="Inter" w:hAnsi="Inter" w:cs="Inter" w:eastAsia="Inter"/>
              <w:b w:val="0"/>
              <w:i w:val="0"/>
              <w:color w:val="6B7280"/>
              <w:sz w:val="14"/>
            </w:rPr>
            <w:fldChar w:fldCharType="begin"/>
          </w:r>
          <w:r>
            <w:rPr>
              <w:rFonts w:ascii="Inter" w:hAnsi="Inter" w:cs="Inter" w:eastAsia="Inter"/>
              <w:b w:val="0"/>
              <w:i w:val="0"/>
              <w:color w:val="6B7280"/>
              <w:sz w:val="14"/>
            </w:rPr>
            <w:instrText xml:space="preserve"> PAGE </w:instrText>
          </w:r>
          <w:r>
            <w:rPr>
              <w:rFonts w:ascii="Inter" w:hAnsi="Inter" w:cs="Inter" w:eastAsia="Inter"/>
              <w:b w:val="0"/>
              <w:i w:val="0"/>
              <w:color w:val="6B7280"/>
              <w:sz w:val="14"/>
            </w:rPr>
            <w:fldChar w:fldCharType="separate"/>
          </w:r>
          <w:r>
            <w:rPr>
              <w:rFonts w:ascii="Inter" w:hAnsi="Inter" w:cs="Inter" w:eastAsia="Inter"/>
              <w:b w:val="0"/>
              <w:i w:val="0"/>
              <w:color w:val="6B7280"/>
              <w:sz w:val="14"/>
            </w:rPr>
            <w:t/>
          </w:r>
          <w:r>
            <w:rPr>
              <w:rFonts w:ascii="Inter" w:hAnsi="Inter" w:cs="Inter" w:eastAsia="Inter"/>
              <w:b w:val="0"/>
              <w:i w:val="0"/>
              <w:color w:val="6B7280"/>
              <w:sz w:val="14"/>
            </w:rPr>
            <w:fldChar w:fldCharType="end"/>
          </w:r>
        </w:p>
      </w:tc>
    </w:tr>
  </w:tbl>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embedTrueTypeFonts w:val="true"/>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0" w:line="300" w:lineRule="auto"/>
    </w:pPr>
    <w:rPr>
      <w:rFonts w:ascii="Inter" w:hAnsi="Inter" w:cs="Inter" w:eastAsia="Inter"/>
      <w:color w:val="35394F"/>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ethyx.eu/?utm_source=gated-asset&amp;utm_medium=document&amp;utm_campaign=dpia-template-en" TargetMode="External"/><Relationship Id="rId11"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fntdata"/><Relationship Id="rId2" Type="http://schemas.openxmlformats.org/officeDocument/2006/relationships/font" Target="fonts/font2.fntdata"/><Relationship Id="rId3" Type="http://schemas.openxmlformats.org/officeDocument/2006/relationships/font" Target="fonts/font3.fntdata"/></Relationships>
</file>

<file path=word/_rels/footer1.xml.rels><?xml version='1.0' encoding='UTF-8' standalone='yes'?>
<Relationships xmlns="http://schemas.openxmlformats.org/package/2006/relationships"><Relationship Id="rId1" Type="http://schemas.openxmlformats.org/officeDocument/2006/relationships/hyperlink" Target="https://ethyx.eu/?utm_source=gated-asset&amp;utm_medium=document&amp;utm_campaign=dpia-templat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Protection Impact Assessment (DPIA)</dc:title>
  <dc:subject/>
  <dc:creator>ETHYX</dc:creator>
  <cp:keywords/>
  <dc:description>Legally reviewed by a certified Data Protection Officer (CIPP/E) · Provided by ETHYX · Version 1.0 · June 2026</dc:description>
  <cp:lastModifiedBy/>
  <cp:revision>1</cp:revision>
  <dcterms:created xsi:type="dcterms:W3CDTF">2013-12-23T23:15:00Z</dcterms:created>
  <dcterms:modified xsi:type="dcterms:W3CDTF">2013-12-23T23:15:00Z</dcterms:modified>
  <cp:category/>
</cp:coreProperties>
</file>